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7" w:rsidRPr="001B1D87" w:rsidRDefault="001B1D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1D87">
        <w:rPr>
          <w:rFonts w:ascii="Times New Roman" w:hAnsi="Times New Roman" w:cs="Times New Roman"/>
          <w:sz w:val="28"/>
          <w:szCs w:val="28"/>
          <w:u w:val="single"/>
        </w:rPr>
        <w:t>Притяжение атомо</w:t>
      </w:r>
      <w:r w:rsidRPr="001B1D87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890D5E" w:rsidRPr="001B1D87" w:rsidRDefault="001B1D87">
      <w:pPr>
        <w:rPr>
          <w:rFonts w:ascii="Times New Roman" w:hAnsi="Times New Roman" w:cs="Times New Roman"/>
          <w:sz w:val="28"/>
          <w:szCs w:val="28"/>
        </w:rPr>
      </w:pPr>
      <w:r w:rsidRPr="001B1D87">
        <w:rPr>
          <w:rFonts w:ascii="Times New Roman" w:hAnsi="Times New Roman" w:cs="Times New Roman"/>
          <w:sz w:val="28"/>
          <w:szCs w:val="28"/>
        </w:rPr>
        <w:t xml:space="preserve"> Наш сад «Притяжение атомов» олицетворяет две стороны, гармонично дополняющие друг друга. Как атомы, эти две половинки притягиваются и становятся уже нечто большем, одним целым, молекулой. В саду «Притяжение атомов» подобно молекуле есть промежутки, проходные дорожки, со входом с одной стороны овала и выходом с другой. Неоновые скамейки, каждая из которых играет роль расщепленного атома, словно стремятся воссоединиться. По отдельности, еще до перевоплощения в «молекулу», кажутся первоначальным этапом формирования единого сада, будто зарождением, что и влечет собой посетителей первоисточником слаженной системы.</w:t>
      </w:r>
      <w:bookmarkStart w:id="0" w:name="_GoBack"/>
      <w:bookmarkEnd w:id="0"/>
    </w:p>
    <w:sectPr w:rsidR="00890D5E" w:rsidRPr="001B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7"/>
    <w:rsid w:val="001B1D87"/>
    <w:rsid w:val="008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9DE"/>
  <w15:chartTrackingRefBased/>
  <w15:docId w15:val="{9831F1B4-D935-457E-A4CD-80E511A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2021-02-24T18:43:00Z</dcterms:created>
  <dcterms:modified xsi:type="dcterms:W3CDTF">2021-02-24T18:44:00Z</dcterms:modified>
</cp:coreProperties>
</file>